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43" w:rsidRPr="002D4F7F" w:rsidRDefault="001B1843" w:rsidP="001B1843">
      <w:pPr>
        <w:spacing w:line="480" w:lineRule="auto"/>
        <w:rPr>
          <w:rFonts w:ascii="Times New Roman" w:hAnsi="Times New Roman"/>
          <w:sz w:val="28"/>
          <w:szCs w:val="28"/>
          <w:u w:val="single"/>
        </w:rPr>
      </w:pPr>
      <w:r w:rsidRPr="002D4F7F">
        <w:rPr>
          <w:rFonts w:ascii="Times New Roman" w:hAnsi="Times New Roman"/>
          <w:sz w:val="28"/>
          <w:szCs w:val="28"/>
          <w:u w:val="single"/>
        </w:rPr>
        <w:t>Body Composition</w:t>
      </w:r>
    </w:p>
    <w:p w:rsidR="001B1843" w:rsidRDefault="001B1843" w:rsidP="001B1843">
      <w:pPr>
        <w:spacing w:line="480" w:lineRule="auto"/>
        <w:rPr>
          <w:rFonts w:ascii="Times New Roman" w:hAnsi="Times New Roman"/>
          <w:sz w:val="24"/>
          <w:szCs w:val="24"/>
        </w:rPr>
      </w:pPr>
    </w:p>
    <w:p w:rsidR="00187494" w:rsidRPr="00AA1951" w:rsidRDefault="00AA1951" w:rsidP="00A07BF8">
      <w:pPr>
        <w:rPr>
          <w:rFonts w:asciiTheme="majorHAnsi" w:hAnsiTheme="majorHAnsi"/>
          <w:sz w:val="24"/>
          <w:szCs w:val="24"/>
        </w:rPr>
      </w:pPr>
      <w:r w:rsidRPr="00AA1951">
        <w:rPr>
          <w:rFonts w:asciiTheme="majorHAnsi" w:hAnsiTheme="majorHAnsi"/>
          <w:sz w:val="24"/>
          <w:szCs w:val="24"/>
        </w:rPr>
        <w:t xml:space="preserve">The composition of a marching band member’s body </w:t>
      </w:r>
      <w:r w:rsidR="003804EA" w:rsidRPr="00AA1951">
        <w:rPr>
          <w:rFonts w:asciiTheme="majorHAnsi" w:hAnsiTheme="majorHAnsi"/>
          <w:sz w:val="24"/>
          <w:szCs w:val="24"/>
        </w:rPr>
        <w:t xml:space="preserve">is important for multiple reasons.  Because muscle is more structurally dense than fat, excess weight in the form of fat can negatively impact agility, </w:t>
      </w:r>
      <w:proofErr w:type="spellStart"/>
      <w:r w:rsidR="00BB3C28">
        <w:rPr>
          <w:rFonts w:asciiTheme="majorHAnsi" w:hAnsiTheme="majorHAnsi"/>
          <w:sz w:val="24"/>
          <w:szCs w:val="24"/>
        </w:rPr>
        <w:t>cardiorespiratory</w:t>
      </w:r>
      <w:proofErr w:type="spellEnd"/>
      <w:r w:rsidR="00BB3C28">
        <w:rPr>
          <w:rFonts w:asciiTheme="majorHAnsi" w:hAnsiTheme="majorHAnsi"/>
          <w:sz w:val="24"/>
          <w:szCs w:val="24"/>
        </w:rPr>
        <w:t xml:space="preserve"> </w:t>
      </w:r>
      <w:r w:rsidR="003804EA" w:rsidRPr="00AA1951">
        <w:rPr>
          <w:rFonts w:asciiTheme="majorHAnsi" w:hAnsiTheme="majorHAnsi"/>
          <w:sz w:val="24"/>
          <w:szCs w:val="24"/>
        </w:rPr>
        <w:t>endurance, and the body’s thermal regulation</w:t>
      </w:r>
      <w:r w:rsidR="00C77A4E" w:rsidRPr="00AA1951">
        <w:rPr>
          <w:rFonts w:asciiTheme="majorHAnsi" w:hAnsiTheme="majorHAnsi"/>
          <w:sz w:val="24"/>
          <w:szCs w:val="24"/>
        </w:rPr>
        <w:t>.  A lower body surface to body weight ratio (m</w:t>
      </w:r>
      <w:r w:rsidR="00C77A4E" w:rsidRPr="00AA1951">
        <w:rPr>
          <w:rFonts w:asciiTheme="majorHAnsi" w:hAnsiTheme="majorHAnsi"/>
          <w:sz w:val="24"/>
          <w:szCs w:val="24"/>
          <w:vertAlign w:val="superscript"/>
        </w:rPr>
        <w:t>2</w:t>
      </w:r>
      <w:r w:rsidR="00C77A4E" w:rsidRPr="00AA1951">
        <w:rPr>
          <w:rFonts w:asciiTheme="majorHAnsi" w:hAnsiTheme="majorHAnsi"/>
          <w:sz w:val="24"/>
          <w:szCs w:val="24"/>
        </w:rPr>
        <w:t xml:space="preserve"> to kg) becomes less favorable for releasing heat.  Increased layering of subcutaneous fat provides an insulated barrier between skin and deep-lying tissues, theoretically preventing the transfer of heat from the muscles to the skin.</w:t>
      </w:r>
      <w:r w:rsidR="00576FC9" w:rsidRPr="00AA1951">
        <w:rPr>
          <w:rFonts w:asciiTheme="majorHAnsi" w:hAnsiTheme="majorHAnsi"/>
          <w:sz w:val="24"/>
          <w:szCs w:val="24"/>
        </w:rPr>
        <w:t xml:space="preserve">  Carrying unnecessary body weight also pro</w:t>
      </w:r>
      <w:r w:rsidRPr="00AA1951">
        <w:rPr>
          <w:rFonts w:asciiTheme="majorHAnsi" w:hAnsiTheme="majorHAnsi"/>
          <w:sz w:val="24"/>
          <w:szCs w:val="24"/>
        </w:rPr>
        <w:t>vides more stress on joints.</w:t>
      </w:r>
      <w:r w:rsidR="00576FC9" w:rsidRPr="00AA1951">
        <w:rPr>
          <w:rFonts w:asciiTheme="majorHAnsi" w:hAnsiTheme="majorHAnsi"/>
          <w:sz w:val="24"/>
          <w:szCs w:val="24"/>
        </w:rPr>
        <w:t xml:space="preserve"> </w:t>
      </w:r>
      <w:r w:rsidRPr="00AA1951">
        <w:rPr>
          <w:rFonts w:asciiTheme="majorHAnsi" w:hAnsiTheme="majorHAnsi"/>
          <w:sz w:val="24"/>
          <w:szCs w:val="24"/>
        </w:rPr>
        <w:t>Ex</w:t>
      </w:r>
      <w:r w:rsidR="00A07BF8" w:rsidRPr="00AA1951">
        <w:rPr>
          <w:rFonts w:asciiTheme="majorHAnsi" w:hAnsiTheme="majorHAnsi"/>
          <w:sz w:val="24"/>
          <w:szCs w:val="24"/>
        </w:rPr>
        <w:t xml:space="preserve">cess </w:t>
      </w:r>
      <w:r w:rsidR="00FD3D1B" w:rsidRPr="00AA1951">
        <w:rPr>
          <w:rFonts w:asciiTheme="majorHAnsi" w:hAnsiTheme="majorHAnsi"/>
          <w:sz w:val="24"/>
          <w:szCs w:val="24"/>
        </w:rPr>
        <w:t xml:space="preserve">abdominal </w:t>
      </w:r>
      <w:r w:rsidR="00A07BF8" w:rsidRPr="00AA1951">
        <w:rPr>
          <w:rFonts w:asciiTheme="majorHAnsi" w:hAnsiTheme="majorHAnsi"/>
          <w:sz w:val="24"/>
          <w:szCs w:val="24"/>
        </w:rPr>
        <w:t>fat located</w:t>
      </w:r>
      <w:r w:rsidR="00FD3D1B" w:rsidRPr="00AA1951">
        <w:rPr>
          <w:rFonts w:asciiTheme="majorHAnsi" w:hAnsiTheme="majorHAnsi"/>
          <w:sz w:val="24"/>
          <w:szCs w:val="24"/>
        </w:rPr>
        <w:t xml:space="preserve"> in the torso increases health risks and is believed to place extra stress on the heart and liver</w:t>
      </w:r>
      <w:r w:rsidR="002D4F7F" w:rsidRPr="00AA1951">
        <w:rPr>
          <w:rFonts w:asciiTheme="majorHAnsi" w:hAnsiTheme="majorHAnsi"/>
          <w:sz w:val="24"/>
          <w:szCs w:val="24"/>
        </w:rPr>
        <w:t>.</w:t>
      </w:r>
    </w:p>
    <w:p w:rsidR="002D4F7F" w:rsidRPr="00AA1951" w:rsidRDefault="002D4F7F" w:rsidP="00A07BF8">
      <w:pPr>
        <w:rPr>
          <w:rFonts w:asciiTheme="majorHAnsi" w:hAnsiTheme="majorHAnsi"/>
          <w:sz w:val="24"/>
          <w:szCs w:val="24"/>
        </w:rPr>
      </w:pPr>
    </w:p>
    <w:p w:rsidR="003804EA" w:rsidRPr="00AA1951" w:rsidRDefault="00A07BF8" w:rsidP="003804EA">
      <w:pPr>
        <w:rPr>
          <w:rFonts w:asciiTheme="majorHAnsi" w:hAnsiTheme="majorHAnsi"/>
          <w:sz w:val="24"/>
          <w:szCs w:val="24"/>
        </w:rPr>
      </w:pPr>
      <w:r w:rsidRPr="00AA1951">
        <w:rPr>
          <w:rFonts w:asciiTheme="majorHAnsi" w:hAnsiTheme="majorHAnsi"/>
          <w:b/>
        </w:rPr>
        <w:t xml:space="preserve"> </w:t>
      </w:r>
      <w:r w:rsidR="00AA1951" w:rsidRPr="00AA1951">
        <w:rPr>
          <w:rFonts w:asciiTheme="majorHAnsi" w:hAnsiTheme="majorHAnsi"/>
          <w:sz w:val="24"/>
          <w:szCs w:val="24"/>
        </w:rPr>
        <w:t>I</w:t>
      </w:r>
      <w:r w:rsidR="003804EA" w:rsidRPr="00AA1951">
        <w:rPr>
          <w:rFonts w:asciiTheme="majorHAnsi" w:hAnsiTheme="majorHAnsi"/>
          <w:sz w:val="24"/>
          <w:szCs w:val="24"/>
        </w:rPr>
        <w:t>ncreasing lean muscle mass</w:t>
      </w:r>
      <w:r w:rsidR="00AA1951" w:rsidRPr="00AA1951">
        <w:rPr>
          <w:rFonts w:asciiTheme="majorHAnsi" w:hAnsiTheme="majorHAnsi"/>
          <w:sz w:val="24"/>
          <w:szCs w:val="24"/>
        </w:rPr>
        <w:t xml:space="preserve">, however, </w:t>
      </w:r>
      <w:r w:rsidR="003804EA" w:rsidRPr="00AA1951">
        <w:rPr>
          <w:rFonts w:asciiTheme="majorHAnsi" w:hAnsiTheme="majorHAnsi"/>
          <w:sz w:val="24"/>
          <w:szCs w:val="24"/>
        </w:rPr>
        <w:t xml:space="preserve">is known to </w:t>
      </w:r>
      <w:r w:rsidR="00C77A4E" w:rsidRPr="00AA1951">
        <w:rPr>
          <w:rFonts w:asciiTheme="majorHAnsi" w:hAnsiTheme="majorHAnsi"/>
          <w:sz w:val="24"/>
          <w:szCs w:val="24"/>
        </w:rPr>
        <w:t xml:space="preserve">help </w:t>
      </w:r>
      <w:r w:rsidR="00A11B1A" w:rsidRPr="00AA1951">
        <w:rPr>
          <w:rFonts w:asciiTheme="majorHAnsi" w:hAnsiTheme="majorHAnsi"/>
          <w:sz w:val="24"/>
          <w:szCs w:val="24"/>
        </w:rPr>
        <w:t xml:space="preserve">improve </w:t>
      </w:r>
      <w:r w:rsidR="00C77A4E" w:rsidRPr="00AA1951">
        <w:rPr>
          <w:rFonts w:asciiTheme="majorHAnsi" w:hAnsiTheme="majorHAnsi"/>
          <w:sz w:val="24"/>
          <w:szCs w:val="24"/>
        </w:rPr>
        <w:t xml:space="preserve">posture and </w:t>
      </w:r>
      <w:r w:rsidR="003804EA" w:rsidRPr="00AA1951">
        <w:rPr>
          <w:rFonts w:asciiTheme="majorHAnsi" w:hAnsiTheme="majorHAnsi"/>
          <w:sz w:val="24"/>
          <w:szCs w:val="24"/>
        </w:rPr>
        <w:t xml:space="preserve">provide </w:t>
      </w:r>
      <w:r w:rsidR="00C77A4E" w:rsidRPr="00AA1951">
        <w:rPr>
          <w:rFonts w:asciiTheme="majorHAnsi" w:hAnsiTheme="majorHAnsi"/>
          <w:sz w:val="24"/>
          <w:szCs w:val="24"/>
        </w:rPr>
        <w:t>several movement advantages</w:t>
      </w:r>
      <w:r w:rsidR="00A11B1A" w:rsidRPr="00AA1951">
        <w:rPr>
          <w:rFonts w:asciiTheme="majorHAnsi" w:hAnsiTheme="majorHAnsi"/>
          <w:sz w:val="24"/>
          <w:szCs w:val="24"/>
        </w:rPr>
        <w:t>,</w:t>
      </w:r>
      <w:r w:rsidR="00C77A4E" w:rsidRPr="00AA1951">
        <w:rPr>
          <w:rFonts w:asciiTheme="majorHAnsi" w:hAnsiTheme="majorHAnsi"/>
          <w:sz w:val="24"/>
          <w:szCs w:val="24"/>
        </w:rPr>
        <w:t xml:space="preserve"> while also decreasing the risk for injuries (ex: as in the case of lower leg muscles functioning as shock absorbers).  Increasing lean muscl</w:t>
      </w:r>
      <w:r w:rsidR="00A11B1A" w:rsidRPr="00AA1951">
        <w:rPr>
          <w:rFonts w:asciiTheme="majorHAnsi" w:hAnsiTheme="majorHAnsi"/>
          <w:sz w:val="24"/>
          <w:szCs w:val="24"/>
        </w:rPr>
        <w:t>e leads to a higher metabolism, which</w:t>
      </w:r>
      <w:r w:rsidR="00AA1951" w:rsidRPr="00AA1951">
        <w:rPr>
          <w:rFonts w:asciiTheme="majorHAnsi" w:hAnsiTheme="majorHAnsi"/>
          <w:sz w:val="24"/>
          <w:szCs w:val="24"/>
        </w:rPr>
        <w:t xml:space="preserve"> at the same time can help to keep </w:t>
      </w:r>
      <w:r w:rsidR="003804EA" w:rsidRPr="00AA1951">
        <w:rPr>
          <w:rFonts w:asciiTheme="majorHAnsi" w:hAnsiTheme="majorHAnsi"/>
          <w:sz w:val="24"/>
          <w:szCs w:val="24"/>
        </w:rPr>
        <w:t xml:space="preserve">more fat mass </w:t>
      </w:r>
      <w:r w:rsidR="00AA1951" w:rsidRPr="00AA1951">
        <w:rPr>
          <w:rFonts w:asciiTheme="majorHAnsi" w:hAnsiTheme="majorHAnsi"/>
          <w:sz w:val="24"/>
          <w:szCs w:val="24"/>
        </w:rPr>
        <w:t xml:space="preserve">off </w:t>
      </w:r>
      <w:r w:rsidR="003804EA" w:rsidRPr="00AA1951">
        <w:rPr>
          <w:rFonts w:asciiTheme="majorHAnsi" w:hAnsiTheme="majorHAnsi"/>
          <w:sz w:val="24"/>
          <w:szCs w:val="24"/>
        </w:rPr>
        <w:t>in conjunction</w:t>
      </w:r>
      <w:r w:rsidR="00AA1951" w:rsidRPr="00AA1951">
        <w:rPr>
          <w:rFonts w:asciiTheme="majorHAnsi" w:hAnsiTheme="majorHAnsi"/>
          <w:sz w:val="24"/>
          <w:szCs w:val="24"/>
        </w:rPr>
        <w:t xml:space="preserve">.  More muscle </w:t>
      </w:r>
      <w:r w:rsidR="00A11B1A" w:rsidRPr="00AA1951">
        <w:rPr>
          <w:rFonts w:asciiTheme="majorHAnsi" w:hAnsiTheme="majorHAnsi"/>
          <w:sz w:val="24"/>
          <w:szCs w:val="24"/>
        </w:rPr>
        <w:t xml:space="preserve">is </w:t>
      </w:r>
      <w:r w:rsidR="00C77A4E" w:rsidRPr="00AA1951">
        <w:rPr>
          <w:rFonts w:asciiTheme="majorHAnsi" w:hAnsiTheme="majorHAnsi"/>
          <w:sz w:val="24"/>
          <w:szCs w:val="24"/>
        </w:rPr>
        <w:t>also</w:t>
      </w:r>
      <w:r w:rsidR="00A11B1A" w:rsidRPr="00AA1951">
        <w:rPr>
          <w:rFonts w:asciiTheme="majorHAnsi" w:hAnsiTheme="majorHAnsi"/>
          <w:sz w:val="24"/>
          <w:szCs w:val="24"/>
        </w:rPr>
        <w:t xml:space="preserve"> likely to</w:t>
      </w:r>
      <w:r w:rsidR="00C77A4E" w:rsidRPr="00AA1951">
        <w:rPr>
          <w:rFonts w:asciiTheme="majorHAnsi" w:hAnsiTheme="majorHAnsi"/>
          <w:sz w:val="24"/>
          <w:szCs w:val="24"/>
        </w:rPr>
        <w:t xml:space="preserve"> generate more heat under clothing when in cold weather environments!</w:t>
      </w:r>
    </w:p>
    <w:p w:rsidR="002D4F7F" w:rsidRPr="002D4F7F" w:rsidRDefault="002D4F7F" w:rsidP="003804EA">
      <w:pPr>
        <w:rPr>
          <w:b/>
        </w:rPr>
      </w:pPr>
    </w:p>
    <w:p w:rsidR="00421C71" w:rsidRPr="00AA1951" w:rsidRDefault="001B1843" w:rsidP="001B1843">
      <w:pPr>
        <w:rPr>
          <w:rFonts w:asciiTheme="majorHAnsi" w:hAnsiTheme="majorHAnsi"/>
          <w:sz w:val="24"/>
          <w:szCs w:val="24"/>
        </w:rPr>
      </w:pPr>
      <w:r w:rsidRPr="00AA1951">
        <w:rPr>
          <w:rFonts w:asciiTheme="majorHAnsi" w:hAnsiTheme="majorHAnsi"/>
          <w:sz w:val="24"/>
          <w:szCs w:val="24"/>
        </w:rPr>
        <w:t>Assessing body composition in humans has traditionally been done relying on two-compartm</w:t>
      </w:r>
      <w:r w:rsidR="00FB09E5">
        <w:rPr>
          <w:rFonts w:asciiTheme="majorHAnsi" w:hAnsiTheme="majorHAnsi"/>
          <w:sz w:val="24"/>
          <w:szCs w:val="24"/>
        </w:rPr>
        <w:t xml:space="preserve">ent (2C) assessment models.  Such </w:t>
      </w:r>
      <w:r w:rsidRPr="00AA1951">
        <w:rPr>
          <w:rFonts w:asciiTheme="majorHAnsi" w:hAnsiTheme="majorHAnsi"/>
          <w:sz w:val="24"/>
          <w:szCs w:val="24"/>
        </w:rPr>
        <w:t>models (or methods) are limited by the fact that they strive to distinguish between only two components in the body</w:t>
      </w:r>
      <w:r w:rsidR="00FB09E5">
        <w:rPr>
          <w:rFonts w:asciiTheme="majorHAnsi" w:hAnsiTheme="majorHAnsi"/>
          <w:sz w:val="24"/>
          <w:szCs w:val="24"/>
        </w:rPr>
        <w:t>: fat mass and fat-free mass.  These 2C</w:t>
      </w:r>
      <w:r w:rsidRPr="00AA1951">
        <w:rPr>
          <w:rFonts w:asciiTheme="majorHAnsi" w:hAnsiTheme="majorHAnsi"/>
          <w:sz w:val="24"/>
          <w:szCs w:val="24"/>
        </w:rPr>
        <w:t xml:space="preserve"> methods</w:t>
      </w:r>
      <w:r w:rsidRPr="00AA1951">
        <w:rPr>
          <w:rFonts w:asciiTheme="majorHAnsi" w:hAnsiTheme="majorHAnsi"/>
          <w:color w:val="000000"/>
          <w:sz w:val="24"/>
          <w:szCs w:val="24"/>
        </w:rPr>
        <w:t>,</w:t>
      </w:r>
      <w:r w:rsidRPr="00AA1951">
        <w:rPr>
          <w:rFonts w:asciiTheme="majorHAnsi" w:hAnsiTheme="majorHAnsi"/>
          <w:sz w:val="24"/>
          <w:szCs w:val="24"/>
        </w:rPr>
        <w:t xml:space="preserve"> such as </w:t>
      </w:r>
      <w:proofErr w:type="spellStart"/>
      <w:r w:rsidRPr="00AA1951">
        <w:rPr>
          <w:rFonts w:asciiTheme="majorHAnsi" w:hAnsiTheme="majorHAnsi"/>
          <w:sz w:val="24"/>
          <w:szCs w:val="24"/>
        </w:rPr>
        <w:t>skinfold</w:t>
      </w:r>
      <w:proofErr w:type="spellEnd"/>
      <w:r w:rsidRPr="00AA1951">
        <w:rPr>
          <w:rFonts w:asciiTheme="majorHAnsi" w:hAnsiTheme="majorHAnsi"/>
          <w:sz w:val="24"/>
          <w:szCs w:val="24"/>
        </w:rPr>
        <w:t xml:space="preserve"> testing (SKF) and bioelectrical impedance</w:t>
      </w:r>
      <w:r w:rsidR="00D92CEF">
        <w:rPr>
          <w:rFonts w:asciiTheme="majorHAnsi" w:hAnsiTheme="majorHAnsi"/>
          <w:sz w:val="24"/>
          <w:szCs w:val="24"/>
        </w:rPr>
        <w:t xml:space="preserve"> analysis</w:t>
      </w:r>
      <w:r w:rsidRPr="00AA1951">
        <w:rPr>
          <w:rFonts w:asciiTheme="majorHAnsi" w:hAnsiTheme="majorHAnsi"/>
          <w:sz w:val="24"/>
          <w:szCs w:val="24"/>
        </w:rPr>
        <w:t xml:space="preserve"> (BIA) remain somewhat popular largely because of their easy availability, but are becoming less preferred because of their limitations, especially as more technologically advanced methods are now being introduced.  </w:t>
      </w:r>
    </w:p>
    <w:p w:rsidR="002D4F7F" w:rsidRDefault="002D4F7F" w:rsidP="001B1843">
      <w:pPr>
        <w:rPr>
          <w:rFonts w:ascii="Times New Roman" w:hAnsi="Times New Roman"/>
          <w:sz w:val="24"/>
          <w:szCs w:val="24"/>
        </w:rPr>
      </w:pPr>
    </w:p>
    <w:p w:rsidR="00A252A0" w:rsidRPr="00D92CEF" w:rsidRDefault="00A252A0" w:rsidP="001B1843">
      <w:pPr>
        <w:rPr>
          <w:rFonts w:asciiTheme="majorHAnsi" w:hAnsiTheme="majorHAnsi"/>
          <w:sz w:val="24"/>
          <w:szCs w:val="24"/>
        </w:rPr>
      </w:pPr>
      <w:proofErr w:type="spellStart"/>
      <w:r w:rsidRPr="00D92CEF">
        <w:rPr>
          <w:rFonts w:asciiTheme="majorHAnsi" w:hAnsiTheme="majorHAnsi"/>
          <w:sz w:val="24"/>
          <w:szCs w:val="24"/>
        </w:rPr>
        <w:t>Skinfold</w:t>
      </w:r>
      <w:proofErr w:type="spellEnd"/>
      <w:r w:rsidRPr="00D92CEF">
        <w:rPr>
          <w:rFonts w:asciiTheme="majorHAnsi" w:hAnsiTheme="majorHAnsi"/>
          <w:sz w:val="24"/>
          <w:szCs w:val="24"/>
        </w:rPr>
        <w:t xml:space="preserve"> caliper testing (SKF) estimates total body fatness by projecting from measured subcutaneous fat (fat directly underlying the skin) taken by pinching two layers of skin at numerous sites across the body (usually </w:t>
      </w:r>
      <w:r w:rsidR="000F2C1E">
        <w:rPr>
          <w:rFonts w:asciiTheme="majorHAnsi" w:hAnsiTheme="majorHAnsi"/>
          <w:sz w:val="24"/>
          <w:szCs w:val="24"/>
        </w:rPr>
        <w:t xml:space="preserve">either </w:t>
      </w:r>
      <w:r w:rsidRPr="00D92CEF">
        <w:rPr>
          <w:rFonts w:asciiTheme="majorHAnsi" w:hAnsiTheme="majorHAnsi"/>
          <w:sz w:val="24"/>
          <w:szCs w:val="24"/>
        </w:rPr>
        <w:t xml:space="preserve">3 or 7 site measurements).  In addition to being </w:t>
      </w:r>
      <w:r w:rsidR="00421C71" w:rsidRPr="00D92CEF">
        <w:rPr>
          <w:rFonts w:asciiTheme="majorHAnsi" w:hAnsiTheme="majorHAnsi"/>
          <w:sz w:val="24"/>
          <w:szCs w:val="24"/>
        </w:rPr>
        <w:t>limited in its ability to measure more than just subcutaneou</w:t>
      </w:r>
      <w:r w:rsidRPr="00D92CEF">
        <w:rPr>
          <w:rFonts w:asciiTheme="majorHAnsi" w:hAnsiTheme="majorHAnsi"/>
          <w:sz w:val="24"/>
          <w:szCs w:val="24"/>
        </w:rPr>
        <w:t xml:space="preserve">s fat, </w:t>
      </w:r>
      <w:proofErr w:type="spellStart"/>
      <w:r w:rsidRPr="00D92CEF">
        <w:rPr>
          <w:rFonts w:asciiTheme="majorHAnsi" w:hAnsiTheme="majorHAnsi"/>
          <w:sz w:val="24"/>
          <w:szCs w:val="24"/>
        </w:rPr>
        <w:t>skinfold</w:t>
      </w:r>
      <w:proofErr w:type="spellEnd"/>
      <w:r w:rsidRPr="00D92CEF">
        <w:rPr>
          <w:rFonts w:asciiTheme="majorHAnsi" w:hAnsiTheme="majorHAnsi"/>
          <w:sz w:val="24"/>
          <w:szCs w:val="24"/>
        </w:rPr>
        <w:t xml:space="preserve"> testing holds the greatest potential for human tester error among all methods; </w:t>
      </w:r>
      <w:r w:rsidR="00421C71" w:rsidRPr="00D92CEF">
        <w:rPr>
          <w:rFonts w:asciiTheme="majorHAnsi" w:hAnsiTheme="majorHAnsi"/>
          <w:sz w:val="24"/>
          <w:szCs w:val="24"/>
        </w:rPr>
        <w:t xml:space="preserve">even experienced testers are subject to a </w:t>
      </w:r>
      <w:r w:rsidRPr="00D92CEF">
        <w:rPr>
          <w:rFonts w:asciiTheme="majorHAnsi" w:hAnsiTheme="majorHAnsi"/>
          <w:sz w:val="24"/>
          <w:szCs w:val="24"/>
        </w:rPr>
        <w:t xml:space="preserve">standard error </w:t>
      </w:r>
      <w:r w:rsidR="00421C71" w:rsidRPr="00D92CEF">
        <w:rPr>
          <w:rFonts w:asciiTheme="majorHAnsi" w:hAnsiTheme="majorHAnsi"/>
          <w:sz w:val="24"/>
          <w:szCs w:val="24"/>
        </w:rPr>
        <w:t xml:space="preserve">of </w:t>
      </w:r>
      <w:r w:rsidRPr="00D92CEF">
        <w:rPr>
          <w:rFonts w:asciiTheme="majorHAnsi" w:hAnsiTheme="majorHAnsi"/>
          <w:sz w:val="24"/>
          <w:szCs w:val="24"/>
          <w:u w:val="single"/>
        </w:rPr>
        <w:t>+</w:t>
      </w:r>
      <w:r w:rsidR="00421C71" w:rsidRPr="00D92CEF">
        <w:rPr>
          <w:rFonts w:asciiTheme="majorHAnsi" w:hAnsiTheme="majorHAnsi"/>
          <w:sz w:val="24"/>
          <w:szCs w:val="24"/>
        </w:rPr>
        <w:t xml:space="preserve">3.5% body fat. </w:t>
      </w:r>
    </w:p>
    <w:p w:rsidR="002D4F7F" w:rsidRDefault="002D4F7F" w:rsidP="001B1843">
      <w:pPr>
        <w:rPr>
          <w:rFonts w:ascii="Times New Roman" w:hAnsi="Times New Roman"/>
          <w:sz w:val="24"/>
          <w:szCs w:val="24"/>
        </w:rPr>
      </w:pPr>
    </w:p>
    <w:p w:rsidR="00421C71" w:rsidRPr="00133A1B" w:rsidRDefault="00421C71" w:rsidP="001B1843">
      <w:pPr>
        <w:rPr>
          <w:rFonts w:asciiTheme="majorHAnsi" w:hAnsiTheme="majorHAnsi"/>
          <w:sz w:val="24"/>
          <w:szCs w:val="24"/>
        </w:rPr>
      </w:pPr>
      <w:r w:rsidRPr="00133A1B">
        <w:rPr>
          <w:rFonts w:asciiTheme="majorHAnsi" w:hAnsiTheme="majorHAnsi"/>
          <w:sz w:val="24"/>
          <w:szCs w:val="24"/>
        </w:rPr>
        <w:t xml:space="preserve">Bioelectrical Impedance Analysis (BIA) is also a quick and easy means of assessing body composition across two compartments.  BIA works by sending a current through the body, whereby the measured resistance that the current encounters is dependent on the ratio of intracellular water to extracellular water in various body tissues. Unfortunately, prediction equations that BIA methods have used for distinguishing fat mass from lean mass have been very dependent on the subject’s hydration status, making BIA equally susceptible to estimation error.  </w:t>
      </w:r>
    </w:p>
    <w:p w:rsidR="002D4F7F" w:rsidRDefault="002D4F7F" w:rsidP="001B1843">
      <w:pPr>
        <w:rPr>
          <w:rFonts w:ascii="Times New Roman" w:hAnsi="Times New Roman"/>
          <w:sz w:val="24"/>
          <w:szCs w:val="24"/>
        </w:rPr>
      </w:pPr>
    </w:p>
    <w:p w:rsidR="00A252A0" w:rsidRPr="00B43984" w:rsidRDefault="00A3577C" w:rsidP="002C4EDA">
      <w:pPr>
        <w:autoSpaceDE w:val="0"/>
        <w:autoSpaceDN w:val="0"/>
        <w:adjustRightInd w:val="0"/>
        <w:jc w:val="left"/>
        <w:rPr>
          <w:rFonts w:asciiTheme="majorHAnsi" w:hAnsiTheme="majorHAnsi"/>
          <w:sz w:val="24"/>
          <w:szCs w:val="24"/>
        </w:rPr>
      </w:pPr>
      <w:r>
        <w:rPr>
          <w:rFonts w:asciiTheme="majorHAnsi" w:hAnsiTheme="majorHAnsi"/>
          <w:sz w:val="24"/>
          <w:szCs w:val="24"/>
        </w:rPr>
        <w:lastRenderedPageBreak/>
        <w:tab/>
      </w:r>
      <w:r w:rsidR="00421C71" w:rsidRPr="00B43984">
        <w:rPr>
          <w:rFonts w:asciiTheme="majorHAnsi" w:hAnsiTheme="majorHAnsi"/>
          <w:sz w:val="24"/>
          <w:szCs w:val="24"/>
        </w:rPr>
        <w:t>Another</w:t>
      </w:r>
      <w:r w:rsidR="001B1843" w:rsidRPr="00B43984">
        <w:rPr>
          <w:rFonts w:asciiTheme="majorHAnsi" w:hAnsiTheme="majorHAnsi"/>
          <w:sz w:val="24"/>
          <w:szCs w:val="24"/>
        </w:rPr>
        <w:t xml:space="preserve"> problem with these </w:t>
      </w:r>
      <w:r w:rsidR="00576FC9" w:rsidRPr="00B43984">
        <w:rPr>
          <w:rFonts w:asciiTheme="majorHAnsi" w:hAnsiTheme="majorHAnsi"/>
          <w:sz w:val="24"/>
          <w:szCs w:val="24"/>
        </w:rPr>
        <w:t xml:space="preserve">two compartment </w:t>
      </w:r>
      <w:r w:rsidR="001B1843" w:rsidRPr="00B43984">
        <w:rPr>
          <w:rFonts w:asciiTheme="majorHAnsi" w:hAnsiTheme="majorHAnsi"/>
          <w:sz w:val="24"/>
          <w:szCs w:val="24"/>
        </w:rPr>
        <w:t>methods is that they have long relied on prediction equations developed back in the 1970’s and 1980’s</w:t>
      </w:r>
      <w:r w:rsidR="00B43984">
        <w:rPr>
          <w:rFonts w:asciiTheme="majorHAnsi" w:hAnsiTheme="majorHAnsi"/>
          <w:sz w:val="24"/>
          <w:szCs w:val="24"/>
        </w:rPr>
        <w:t>; equations</w:t>
      </w:r>
      <w:r w:rsidR="001B1843" w:rsidRPr="00B43984">
        <w:rPr>
          <w:rFonts w:asciiTheme="majorHAnsi" w:hAnsiTheme="majorHAnsi"/>
          <w:sz w:val="24"/>
          <w:szCs w:val="24"/>
        </w:rPr>
        <w:t xml:space="preserve"> which </w:t>
      </w:r>
      <w:r w:rsidR="00A252A0" w:rsidRPr="00B43984">
        <w:rPr>
          <w:rFonts w:asciiTheme="majorHAnsi" w:hAnsiTheme="majorHAnsi"/>
          <w:sz w:val="24"/>
          <w:szCs w:val="24"/>
        </w:rPr>
        <w:t xml:space="preserve">rely on simply </w:t>
      </w:r>
      <w:r w:rsidR="00A252A0" w:rsidRPr="00B43984">
        <w:rPr>
          <w:rFonts w:asciiTheme="majorHAnsi" w:hAnsiTheme="majorHAnsi"/>
          <w:i/>
          <w:sz w:val="24"/>
          <w:szCs w:val="24"/>
        </w:rPr>
        <w:t>estimating</w:t>
      </w:r>
      <w:r w:rsidR="001B1843" w:rsidRPr="00B43984">
        <w:rPr>
          <w:rFonts w:asciiTheme="majorHAnsi" w:hAnsiTheme="majorHAnsi"/>
          <w:i/>
          <w:sz w:val="24"/>
          <w:szCs w:val="24"/>
        </w:rPr>
        <w:t xml:space="preserve"> </w:t>
      </w:r>
      <w:r w:rsidR="001B1843" w:rsidRPr="00B43984">
        <w:rPr>
          <w:rFonts w:asciiTheme="majorHAnsi" w:hAnsiTheme="majorHAnsi"/>
          <w:sz w:val="24"/>
          <w:szCs w:val="24"/>
        </w:rPr>
        <w:t xml:space="preserve">the density of bone and hydration status of the fat-free mass (bone + muscle tissues) in different </w:t>
      </w:r>
      <w:r w:rsidR="001B1843" w:rsidRPr="00B43984">
        <w:rPr>
          <w:rFonts w:asciiTheme="majorHAnsi" w:hAnsiTheme="majorHAnsi"/>
          <w:color w:val="000000"/>
          <w:sz w:val="24"/>
          <w:szCs w:val="24"/>
        </w:rPr>
        <w:t xml:space="preserve">non-athlete </w:t>
      </w:r>
      <w:r w:rsidR="001B1843" w:rsidRPr="00B43984">
        <w:rPr>
          <w:rFonts w:asciiTheme="majorHAnsi" w:hAnsiTheme="majorHAnsi"/>
          <w:sz w:val="24"/>
          <w:szCs w:val="24"/>
        </w:rPr>
        <w:t xml:space="preserve">reference populations.  </w:t>
      </w:r>
      <w:r w:rsidR="001B1843" w:rsidRPr="00B43984">
        <w:rPr>
          <w:rFonts w:asciiTheme="majorHAnsi" w:hAnsiTheme="majorHAnsi"/>
          <w:color w:val="000000"/>
          <w:sz w:val="24"/>
          <w:szCs w:val="24"/>
        </w:rPr>
        <w:t xml:space="preserve">Since that time, more recently introduced methods such as DXA are able to directly measure these body components, which previously were only estimated by older 2C models. </w:t>
      </w:r>
      <w:r w:rsidR="00B43984">
        <w:rPr>
          <w:rFonts w:asciiTheme="majorHAnsi" w:hAnsiTheme="majorHAnsi"/>
          <w:color w:val="000000"/>
          <w:sz w:val="24"/>
          <w:szCs w:val="24"/>
        </w:rPr>
        <w:t xml:space="preserve"> Among </w:t>
      </w:r>
      <w:r w:rsidR="001B1843" w:rsidRPr="00B43984">
        <w:rPr>
          <w:rFonts w:asciiTheme="majorHAnsi" w:hAnsiTheme="majorHAnsi"/>
          <w:sz w:val="24"/>
          <w:szCs w:val="24"/>
        </w:rPr>
        <w:t xml:space="preserve">the most promising means of measuring body composition is dual energy X-ray </w:t>
      </w:r>
      <w:proofErr w:type="spellStart"/>
      <w:r w:rsidR="001B1843" w:rsidRPr="00B43984">
        <w:rPr>
          <w:rFonts w:asciiTheme="majorHAnsi" w:hAnsiTheme="majorHAnsi"/>
          <w:sz w:val="24"/>
          <w:szCs w:val="24"/>
        </w:rPr>
        <w:t>absorptiometry</w:t>
      </w:r>
      <w:proofErr w:type="spellEnd"/>
      <w:r w:rsidR="001B1843" w:rsidRPr="00B43984">
        <w:rPr>
          <w:rFonts w:asciiTheme="majorHAnsi" w:hAnsiTheme="majorHAnsi"/>
          <w:sz w:val="24"/>
          <w:szCs w:val="24"/>
        </w:rPr>
        <w:t xml:space="preserve"> (DXA).  A DXA scan is considered a three-compartment (3C) model, as it can differentiate between bone, fat mass and lean soft tissue mass (without having to make assumptions regarding their densities) by using two low–intensit</w:t>
      </w:r>
      <w:r w:rsidR="00B43984">
        <w:rPr>
          <w:rFonts w:asciiTheme="majorHAnsi" w:hAnsiTheme="majorHAnsi"/>
          <w:sz w:val="24"/>
          <w:szCs w:val="24"/>
        </w:rPr>
        <w:t>y radiation beams that scan a</w:t>
      </w:r>
      <w:r w:rsidR="001B1843" w:rsidRPr="00B43984">
        <w:rPr>
          <w:rFonts w:asciiTheme="majorHAnsi" w:hAnsiTheme="majorHAnsi"/>
          <w:sz w:val="24"/>
          <w:szCs w:val="24"/>
        </w:rPr>
        <w:t xml:space="preserve"> subject’s resting body.</w:t>
      </w:r>
      <w:r w:rsidR="00AF3466" w:rsidRPr="00B43984">
        <w:rPr>
          <w:rFonts w:asciiTheme="majorHAnsi" w:hAnsiTheme="majorHAnsi"/>
          <w:sz w:val="24"/>
          <w:szCs w:val="24"/>
        </w:rPr>
        <w:t xml:space="preserve">  This type of </w:t>
      </w:r>
      <w:r w:rsidR="00576FC9" w:rsidRPr="00B43984">
        <w:rPr>
          <w:rFonts w:asciiTheme="majorHAnsi" w:hAnsiTheme="majorHAnsi"/>
          <w:sz w:val="24"/>
          <w:szCs w:val="24"/>
        </w:rPr>
        <w:t xml:space="preserve">body </w:t>
      </w:r>
      <w:r w:rsidR="00AF3466" w:rsidRPr="00B43984">
        <w:rPr>
          <w:rFonts w:asciiTheme="majorHAnsi" w:hAnsiTheme="majorHAnsi"/>
          <w:sz w:val="24"/>
          <w:szCs w:val="24"/>
        </w:rPr>
        <w:t xml:space="preserve">scan goes well beyond simply conveying a number on the scale, as it can tell you </w:t>
      </w:r>
      <w:r w:rsidR="00AF3466" w:rsidRPr="00B43984">
        <w:rPr>
          <w:rFonts w:asciiTheme="majorHAnsi" w:hAnsiTheme="majorHAnsi"/>
          <w:i/>
          <w:sz w:val="24"/>
          <w:szCs w:val="24"/>
        </w:rPr>
        <w:t>how much muscle</w:t>
      </w:r>
      <w:r w:rsidR="00AF3466" w:rsidRPr="00B43984">
        <w:rPr>
          <w:rFonts w:asciiTheme="majorHAnsi" w:hAnsiTheme="majorHAnsi"/>
          <w:sz w:val="24"/>
          <w:szCs w:val="24"/>
        </w:rPr>
        <w:t xml:space="preserve"> or </w:t>
      </w:r>
      <w:r w:rsidR="00AF3466" w:rsidRPr="00B43984">
        <w:rPr>
          <w:rFonts w:asciiTheme="majorHAnsi" w:hAnsiTheme="majorHAnsi"/>
          <w:i/>
          <w:sz w:val="24"/>
          <w:szCs w:val="24"/>
        </w:rPr>
        <w:t>how much fat</w:t>
      </w:r>
      <w:r w:rsidR="00AF3466" w:rsidRPr="00B43984">
        <w:rPr>
          <w:rFonts w:asciiTheme="majorHAnsi" w:hAnsiTheme="majorHAnsi"/>
          <w:sz w:val="24"/>
          <w:szCs w:val="24"/>
        </w:rPr>
        <w:t xml:space="preserve"> has been gained or lost – and exactly where it has accumulated in the body!  </w:t>
      </w:r>
    </w:p>
    <w:p w:rsidR="002D4F7F" w:rsidRDefault="002D4F7F" w:rsidP="002C4EDA">
      <w:pPr>
        <w:autoSpaceDE w:val="0"/>
        <w:autoSpaceDN w:val="0"/>
        <w:adjustRightInd w:val="0"/>
        <w:jc w:val="left"/>
        <w:rPr>
          <w:rFonts w:ascii="Times New Roman" w:hAnsi="Times New Roman"/>
          <w:sz w:val="24"/>
          <w:szCs w:val="24"/>
        </w:rPr>
      </w:pPr>
    </w:p>
    <w:p w:rsidR="0050672B" w:rsidRPr="00B43984" w:rsidRDefault="00A3577C" w:rsidP="006B4B19">
      <w:pPr>
        <w:autoSpaceDE w:val="0"/>
        <w:autoSpaceDN w:val="0"/>
        <w:adjustRightInd w:val="0"/>
        <w:jc w:val="left"/>
        <w:rPr>
          <w:rFonts w:asciiTheme="majorHAnsi" w:hAnsiTheme="majorHAnsi"/>
          <w:sz w:val="24"/>
          <w:szCs w:val="24"/>
        </w:rPr>
      </w:pPr>
      <w:r>
        <w:rPr>
          <w:rFonts w:asciiTheme="majorHAnsi" w:hAnsiTheme="majorHAnsi"/>
          <w:sz w:val="24"/>
          <w:szCs w:val="24"/>
        </w:rPr>
        <w:tab/>
      </w:r>
      <w:r w:rsidR="00AF3466" w:rsidRPr="00B43984">
        <w:rPr>
          <w:rFonts w:asciiTheme="majorHAnsi" w:hAnsiTheme="majorHAnsi"/>
          <w:sz w:val="24"/>
          <w:szCs w:val="24"/>
        </w:rPr>
        <w:t>Unfortunately,</w:t>
      </w:r>
      <w:r w:rsidR="00A252A0" w:rsidRPr="00B43984">
        <w:rPr>
          <w:rFonts w:asciiTheme="majorHAnsi" w:hAnsiTheme="majorHAnsi"/>
          <w:sz w:val="24"/>
          <w:szCs w:val="24"/>
        </w:rPr>
        <w:t xml:space="preserve"> because of a lack of accessibility to such testing,</w:t>
      </w:r>
      <w:r w:rsidR="00AF3466" w:rsidRPr="00B43984">
        <w:rPr>
          <w:rFonts w:asciiTheme="majorHAnsi" w:hAnsiTheme="majorHAnsi"/>
          <w:sz w:val="24"/>
          <w:szCs w:val="24"/>
        </w:rPr>
        <w:t xml:space="preserve"> many individuals seeking to evaluate their body composition are satisfied with </w:t>
      </w:r>
      <w:r w:rsidR="003121DE" w:rsidRPr="00B43984">
        <w:rPr>
          <w:rFonts w:asciiTheme="majorHAnsi" w:hAnsiTheme="majorHAnsi"/>
          <w:sz w:val="24"/>
          <w:szCs w:val="24"/>
        </w:rPr>
        <w:t xml:space="preserve">simply </w:t>
      </w:r>
      <w:r w:rsidR="00AF3466" w:rsidRPr="00B43984">
        <w:rPr>
          <w:rFonts w:asciiTheme="majorHAnsi" w:hAnsiTheme="majorHAnsi"/>
          <w:sz w:val="24"/>
          <w:szCs w:val="24"/>
        </w:rPr>
        <w:t>determining their BMI, or body mass index</w:t>
      </w:r>
      <w:r w:rsidR="002C4EDA" w:rsidRPr="00B43984">
        <w:rPr>
          <w:rFonts w:asciiTheme="majorHAnsi" w:hAnsiTheme="majorHAnsi"/>
          <w:sz w:val="24"/>
          <w:szCs w:val="24"/>
        </w:rPr>
        <w:t xml:space="preserve">, a widely-used basic estimate </w:t>
      </w:r>
      <w:r w:rsidR="002C4EDA" w:rsidRPr="00B43984">
        <w:rPr>
          <w:rFonts w:asciiTheme="majorHAnsi" w:eastAsiaTheme="minorHAnsi" w:hAnsiTheme="majorHAnsi"/>
          <w:sz w:val="24"/>
          <w:szCs w:val="24"/>
        </w:rPr>
        <w:t xml:space="preserve">which </w:t>
      </w:r>
      <w:r w:rsidR="003121DE" w:rsidRPr="00B43984">
        <w:rPr>
          <w:rFonts w:asciiTheme="majorHAnsi" w:eastAsiaTheme="minorHAnsi" w:hAnsiTheme="majorHAnsi"/>
          <w:sz w:val="24"/>
          <w:szCs w:val="24"/>
        </w:rPr>
        <w:t xml:space="preserve">relates body </w:t>
      </w:r>
      <w:r w:rsidR="006B4B19" w:rsidRPr="00B43984">
        <w:rPr>
          <w:rFonts w:asciiTheme="majorHAnsi" w:eastAsiaTheme="minorHAnsi" w:hAnsiTheme="majorHAnsi"/>
          <w:sz w:val="24"/>
          <w:szCs w:val="24"/>
        </w:rPr>
        <w:t>mass (in kilograms</w:t>
      </w:r>
      <w:r w:rsidR="003121DE" w:rsidRPr="00B43984">
        <w:rPr>
          <w:rFonts w:asciiTheme="majorHAnsi" w:eastAsiaTheme="minorHAnsi" w:hAnsiTheme="majorHAnsi"/>
          <w:sz w:val="24"/>
          <w:szCs w:val="24"/>
        </w:rPr>
        <w:t>) proportionate to</w:t>
      </w:r>
      <w:r w:rsidR="006B4B19" w:rsidRPr="00B43984">
        <w:rPr>
          <w:rFonts w:asciiTheme="majorHAnsi" w:eastAsiaTheme="minorHAnsi" w:hAnsiTheme="majorHAnsi"/>
          <w:sz w:val="24"/>
          <w:szCs w:val="24"/>
        </w:rPr>
        <w:t xml:space="preserve"> height (</w:t>
      </w:r>
      <w:r w:rsidR="003121DE" w:rsidRPr="00B43984">
        <w:rPr>
          <w:rFonts w:asciiTheme="majorHAnsi" w:eastAsiaTheme="minorHAnsi" w:hAnsiTheme="majorHAnsi"/>
          <w:sz w:val="24"/>
          <w:szCs w:val="24"/>
        </w:rPr>
        <w:t>in m</w:t>
      </w:r>
      <w:r w:rsidR="006B4B19" w:rsidRPr="00B43984">
        <w:rPr>
          <w:rFonts w:asciiTheme="majorHAnsi" w:eastAsiaTheme="minorHAnsi" w:hAnsiTheme="majorHAnsi"/>
          <w:sz w:val="24"/>
          <w:szCs w:val="24"/>
        </w:rPr>
        <w:t>eters</w:t>
      </w:r>
      <w:r w:rsidR="006B4B19" w:rsidRPr="00B43984">
        <w:rPr>
          <w:rFonts w:asciiTheme="majorHAnsi" w:eastAsiaTheme="minorHAnsi" w:hAnsiTheme="majorHAnsi"/>
          <w:sz w:val="24"/>
          <w:szCs w:val="24"/>
          <w:vertAlign w:val="superscript"/>
        </w:rPr>
        <w:t xml:space="preserve"> </w:t>
      </w:r>
      <w:r w:rsidR="006B4B19" w:rsidRPr="00B43984">
        <w:rPr>
          <w:rFonts w:asciiTheme="majorHAnsi" w:eastAsiaTheme="minorHAnsi" w:hAnsiTheme="majorHAnsi"/>
          <w:sz w:val="24"/>
          <w:szCs w:val="24"/>
        </w:rPr>
        <w:t xml:space="preserve">squared).  </w:t>
      </w:r>
      <w:r w:rsidR="003121DE" w:rsidRPr="00B43984">
        <w:rPr>
          <w:rFonts w:asciiTheme="majorHAnsi" w:eastAsiaTheme="minorHAnsi" w:hAnsiTheme="majorHAnsi"/>
          <w:sz w:val="24"/>
          <w:szCs w:val="24"/>
        </w:rPr>
        <w:t xml:space="preserve"> </w:t>
      </w:r>
      <w:r w:rsidR="006B4B19" w:rsidRPr="00B43984">
        <w:rPr>
          <w:rFonts w:asciiTheme="majorHAnsi" w:eastAsiaTheme="minorHAnsi" w:hAnsiTheme="majorHAnsi"/>
          <w:sz w:val="24"/>
          <w:szCs w:val="24"/>
        </w:rPr>
        <w:t xml:space="preserve">The formula </w:t>
      </w:r>
      <w:r w:rsidR="00B43984">
        <w:rPr>
          <w:rFonts w:asciiTheme="majorHAnsi" w:eastAsiaTheme="minorHAnsi" w:hAnsiTheme="majorHAnsi"/>
          <w:sz w:val="24"/>
          <w:szCs w:val="24"/>
        </w:rPr>
        <w:t>{</w:t>
      </w:r>
      <w:r w:rsidR="003121DE" w:rsidRPr="00B43984">
        <w:rPr>
          <w:rFonts w:asciiTheme="majorHAnsi" w:eastAsiaTheme="minorHAnsi" w:hAnsiTheme="majorHAnsi"/>
          <w:sz w:val="24"/>
          <w:szCs w:val="24"/>
        </w:rPr>
        <w:t>BMI = wt in kg / ht in m</w:t>
      </w:r>
      <w:r w:rsidR="003121DE" w:rsidRPr="00B43984">
        <w:rPr>
          <w:rFonts w:asciiTheme="majorHAnsi" w:eastAsiaTheme="minorHAnsi" w:hAnsiTheme="majorHAnsi"/>
          <w:sz w:val="24"/>
          <w:szCs w:val="24"/>
          <w:vertAlign w:val="superscript"/>
        </w:rPr>
        <w:t>2</w:t>
      </w:r>
      <w:r w:rsidR="00B43984">
        <w:rPr>
          <w:rFonts w:asciiTheme="majorHAnsi" w:eastAsiaTheme="minorHAnsi" w:hAnsiTheme="majorHAnsi"/>
          <w:sz w:val="24"/>
          <w:szCs w:val="24"/>
          <w:vertAlign w:val="superscript"/>
        </w:rPr>
        <w:t>}</w:t>
      </w:r>
      <w:r w:rsidR="0050672B" w:rsidRPr="00B43984">
        <w:rPr>
          <w:rFonts w:asciiTheme="majorHAnsi" w:eastAsiaTheme="minorHAnsi" w:hAnsiTheme="majorHAnsi"/>
          <w:sz w:val="24"/>
          <w:szCs w:val="24"/>
          <w:vertAlign w:val="superscript"/>
        </w:rPr>
        <w:t xml:space="preserve"> </w:t>
      </w:r>
      <w:r w:rsidR="006B4B19" w:rsidRPr="00B43984">
        <w:rPr>
          <w:rFonts w:asciiTheme="majorHAnsi" w:eastAsiaTheme="minorHAnsi" w:hAnsiTheme="majorHAnsi"/>
          <w:sz w:val="24"/>
          <w:szCs w:val="24"/>
        </w:rPr>
        <w:t xml:space="preserve">is quick and </w:t>
      </w:r>
      <w:r w:rsidR="0050672B" w:rsidRPr="00B43984">
        <w:rPr>
          <w:rFonts w:asciiTheme="majorHAnsi" w:eastAsiaTheme="minorHAnsi" w:hAnsiTheme="majorHAnsi"/>
          <w:sz w:val="24"/>
          <w:szCs w:val="24"/>
        </w:rPr>
        <w:t>easy to perform</w:t>
      </w:r>
      <w:r w:rsidR="00872E57" w:rsidRPr="00B43984">
        <w:rPr>
          <w:rFonts w:asciiTheme="majorHAnsi" w:eastAsiaTheme="minorHAnsi" w:hAnsiTheme="majorHAnsi"/>
          <w:sz w:val="24"/>
          <w:szCs w:val="24"/>
        </w:rPr>
        <w:t>,</w:t>
      </w:r>
      <w:r w:rsidR="0050672B" w:rsidRPr="00B43984">
        <w:rPr>
          <w:rFonts w:asciiTheme="majorHAnsi" w:eastAsiaTheme="minorHAnsi" w:hAnsiTheme="majorHAnsi"/>
          <w:sz w:val="24"/>
          <w:szCs w:val="24"/>
        </w:rPr>
        <w:t xml:space="preserve"> but should only be used as a </w:t>
      </w:r>
      <w:r w:rsidR="0050672B" w:rsidRPr="00B43984">
        <w:rPr>
          <w:rFonts w:asciiTheme="majorHAnsi" w:hAnsiTheme="majorHAnsi"/>
          <w:sz w:val="24"/>
          <w:szCs w:val="24"/>
        </w:rPr>
        <w:t>screening tool</w:t>
      </w:r>
      <w:r w:rsidR="006B4B19" w:rsidRPr="00B43984">
        <w:rPr>
          <w:rFonts w:asciiTheme="majorHAnsi" w:hAnsiTheme="majorHAnsi"/>
          <w:sz w:val="24"/>
          <w:szCs w:val="24"/>
        </w:rPr>
        <w:t xml:space="preserve"> </w:t>
      </w:r>
      <w:r w:rsidR="009C343B">
        <w:rPr>
          <w:rFonts w:asciiTheme="majorHAnsi" w:hAnsiTheme="majorHAnsi"/>
          <w:sz w:val="24"/>
          <w:szCs w:val="24"/>
        </w:rPr>
        <w:t>to estimate health risks.  It has a</w:t>
      </w:r>
      <w:r w:rsidR="006B4B19" w:rsidRPr="00B43984">
        <w:rPr>
          <w:rFonts w:asciiTheme="majorHAnsi" w:hAnsiTheme="majorHAnsi"/>
          <w:sz w:val="24"/>
          <w:szCs w:val="24"/>
        </w:rPr>
        <w:t xml:space="preserve"> limited </w:t>
      </w:r>
      <w:r w:rsidR="009C343B">
        <w:rPr>
          <w:rFonts w:asciiTheme="majorHAnsi" w:hAnsiTheme="majorHAnsi"/>
          <w:sz w:val="24"/>
          <w:szCs w:val="24"/>
        </w:rPr>
        <w:t>a</w:t>
      </w:r>
      <w:r w:rsidR="001545D5" w:rsidRPr="00B43984">
        <w:rPr>
          <w:rFonts w:asciiTheme="majorHAnsi" w:hAnsiTheme="majorHAnsi"/>
          <w:sz w:val="24"/>
          <w:szCs w:val="24"/>
        </w:rPr>
        <w:t>pplication</w:t>
      </w:r>
      <w:r w:rsidR="00C84919" w:rsidRPr="00B43984">
        <w:rPr>
          <w:rFonts w:asciiTheme="majorHAnsi" w:hAnsiTheme="majorHAnsi"/>
          <w:sz w:val="24"/>
          <w:szCs w:val="24"/>
        </w:rPr>
        <w:t xml:space="preserve"> with</w:t>
      </w:r>
      <w:r w:rsidR="006B4B19" w:rsidRPr="00B43984">
        <w:rPr>
          <w:rFonts w:asciiTheme="majorHAnsi" w:hAnsiTheme="majorHAnsi"/>
          <w:sz w:val="24"/>
          <w:szCs w:val="24"/>
        </w:rPr>
        <w:t xml:space="preserve"> all individuals, especially </w:t>
      </w:r>
      <w:r w:rsidR="00C84919" w:rsidRPr="00B43984">
        <w:rPr>
          <w:rFonts w:asciiTheme="majorHAnsi" w:hAnsiTheme="majorHAnsi"/>
          <w:sz w:val="24"/>
          <w:szCs w:val="24"/>
        </w:rPr>
        <w:t xml:space="preserve">for </w:t>
      </w:r>
      <w:r w:rsidR="006B4B19" w:rsidRPr="00B43984">
        <w:rPr>
          <w:rFonts w:asciiTheme="majorHAnsi" w:hAnsiTheme="majorHAnsi"/>
          <w:sz w:val="24"/>
          <w:szCs w:val="24"/>
        </w:rPr>
        <w:t>those who carry significant amounts of lean muscle mass and may be classified</w:t>
      </w:r>
      <w:r w:rsidR="00C84919" w:rsidRPr="00B43984">
        <w:rPr>
          <w:rFonts w:asciiTheme="majorHAnsi" w:hAnsiTheme="majorHAnsi"/>
          <w:sz w:val="24"/>
          <w:szCs w:val="24"/>
        </w:rPr>
        <w:t xml:space="preserve"> as overweight or obese because their higher scale weight (despite the fact that they are almost all muscle).</w:t>
      </w:r>
    </w:p>
    <w:p w:rsidR="002D4F7F" w:rsidRDefault="002D4F7F" w:rsidP="006B4B19">
      <w:pPr>
        <w:autoSpaceDE w:val="0"/>
        <w:autoSpaceDN w:val="0"/>
        <w:adjustRightInd w:val="0"/>
        <w:jc w:val="left"/>
        <w:rPr>
          <w:rFonts w:ascii="Times New Roman" w:hAnsi="Times New Roman"/>
          <w:sz w:val="24"/>
          <w:szCs w:val="24"/>
        </w:rPr>
      </w:pPr>
    </w:p>
    <w:p w:rsidR="002D4F7F" w:rsidRPr="006B4B19" w:rsidRDefault="002D4F7F" w:rsidP="006B4B19">
      <w:pPr>
        <w:autoSpaceDE w:val="0"/>
        <w:autoSpaceDN w:val="0"/>
        <w:adjustRightInd w:val="0"/>
        <w:jc w:val="left"/>
        <w:rPr>
          <w:rFonts w:ascii="Times New Roman" w:eastAsiaTheme="minorHAnsi" w:hAnsi="Times New Roman"/>
          <w:sz w:val="24"/>
          <w:szCs w:val="24"/>
        </w:rPr>
      </w:pPr>
    </w:p>
    <w:p w:rsidR="0050672B" w:rsidRDefault="0050672B" w:rsidP="002C4EDA">
      <w:pPr>
        <w:rPr>
          <w:rFonts w:ascii="Times New Roman" w:hAnsi="Times New Roman"/>
          <w:sz w:val="24"/>
          <w:szCs w:val="24"/>
        </w:rPr>
      </w:pPr>
    </w:p>
    <w:p w:rsidR="0050672B" w:rsidRDefault="0050672B" w:rsidP="002C4EDA">
      <w:pPr>
        <w:rPr>
          <w:rFonts w:ascii="Times New Roman" w:hAnsi="Times New Roman"/>
          <w:sz w:val="24"/>
          <w:szCs w:val="24"/>
        </w:rPr>
      </w:pPr>
    </w:p>
    <w:p w:rsidR="0050672B" w:rsidRDefault="0050672B" w:rsidP="002C4EDA">
      <w:pPr>
        <w:rPr>
          <w:rFonts w:ascii="Times New Roman" w:hAnsi="Times New Roman"/>
          <w:sz w:val="24"/>
          <w:szCs w:val="24"/>
        </w:rPr>
      </w:pPr>
    </w:p>
    <w:p w:rsidR="0050672B" w:rsidRDefault="0050672B" w:rsidP="002C4EDA">
      <w:pPr>
        <w:rPr>
          <w:rFonts w:ascii="Times New Roman" w:hAnsi="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6"/>
        <w:gridCol w:w="2605"/>
      </w:tblGrid>
      <w:tr w:rsidR="00A3577C" w:rsidTr="00A3577C">
        <w:trPr>
          <w:trHeight w:val="750"/>
        </w:trPr>
        <w:tc>
          <w:tcPr>
            <w:tcW w:w="2636"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BMI</w:t>
            </w:r>
          </w:p>
        </w:tc>
        <w:tc>
          <w:tcPr>
            <w:tcW w:w="2605"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WEIGHT</w:t>
            </w:r>
          </w:p>
          <w:p w:rsidR="00A3577C" w:rsidRDefault="00A3577C" w:rsidP="00A3577C">
            <w:pPr>
              <w:jc w:val="center"/>
              <w:rPr>
                <w:rFonts w:ascii="Times New Roman" w:hAnsi="Times New Roman"/>
                <w:sz w:val="24"/>
                <w:szCs w:val="24"/>
              </w:rPr>
            </w:pPr>
            <w:r>
              <w:rPr>
                <w:rFonts w:ascii="Times New Roman" w:hAnsi="Times New Roman"/>
                <w:sz w:val="24"/>
                <w:szCs w:val="24"/>
              </w:rPr>
              <w:t>STATUS</w:t>
            </w:r>
          </w:p>
        </w:tc>
      </w:tr>
      <w:tr w:rsidR="00A3577C" w:rsidTr="00A3577C">
        <w:trPr>
          <w:trHeight w:val="800"/>
        </w:trPr>
        <w:tc>
          <w:tcPr>
            <w:tcW w:w="2636"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&lt; 18.5</w:t>
            </w:r>
          </w:p>
        </w:tc>
        <w:tc>
          <w:tcPr>
            <w:tcW w:w="2605"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Underweight</w:t>
            </w:r>
          </w:p>
        </w:tc>
      </w:tr>
      <w:tr w:rsidR="00A3577C" w:rsidTr="00A3577C">
        <w:trPr>
          <w:trHeight w:val="725"/>
        </w:trPr>
        <w:tc>
          <w:tcPr>
            <w:tcW w:w="2636"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18.5 – 24.9</w:t>
            </w:r>
          </w:p>
        </w:tc>
        <w:tc>
          <w:tcPr>
            <w:tcW w:w="2605"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Normal weight</w:t>
            </w:r>
          </w:p>
        </w:tc>
      </w:tr>
      <w:tr w:rsidR="00A3577C" w:rsidTr="00A3577C">
        <w:trPr>
          <w:trHeight w:val="800"/>
        </w:trPr>
        <w:tc>
          <w:tcPr>
            <w:tcW w:w="2636"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25.0 – 29.9</w:t>
            </w:r>
          </w:p>
        </w:tc>
        <w:tc>
          <w:tcPr>
            <w:tcW w:w="2605"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Overweight</w:t>
            </w:r>
          </w:p>
        </w:tc>
      </w:tr>
      <w:tr w:rsidR="00A3577C" w:rsidTr="00A3577C">
        <w:trPr>
          <w:trHeight w:val="676"/>
        </w:trPr>
        <w:tc>
          <w:tcPr>
            <w:tcW w:w="2636"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30 and above</w:t>
            </w:r>
          </w:p>
        </w:tc>
        <w:tc>
          <w:tcPr>
            <w:tcW w:w="2605" w:type="dxa"/>
            <w:vAlign w:val="center"/>
          </w:tcPr>
          <w:p w:rsidR="00A3577C" w:rsidRDefault="00A3577C" w:rsidP="00A3577C">
            <w:pPr>
              <w:jc w:val="center"/>
              <w:rPr>
                <w:rFonts w:ascii="Times New Roman" w:hAnsi="Times New Roman"/>
                <w:sz w:val="24"/>
                <w:szCs w:val="24"/>
              </w:rPr>
            </w:pPr>
            <w:r>
              <w:rPr>
                <w:rFonts w:ascii="Times New Roman" w:hAnsi="Times New Roman"/>
                <w:sz w:val="24"/>
                <w:szCs w:val="24"/>
              </w:rPr>
              <w:t>Obese</w:t>
            </w:r>
          </w:p>
        </w:tc>
      </w:tr>
    </w:tbl>
    <w:p w:rsidR="0050672B" w:rsidRDefault="0050672B" w:rsidP="002C4EDA">
      <w:pPr>
        <w:rPr>
          <w:rFonts w:ascii="Times New Roman" w:hAnsi="Times New Roman"/>
          <w:sz w:val="24"/>
          <w:szCs w:val="24"/>
        </w:rPr>
      </w:pPr>
    </w:p>
    <w:p w:rsidR="006C74AE" w:rsidRDefault="006C74AE" w:rsidP="002C4EDA">
      <w:pPr>
        <w:rPr>
          <w:rFonts w:ascii="Times New Roman" w:hAnsi="Times New Roman"/>
          <w:sz w:val="24"/>
          <w:szCs w:val="24"/>
        </w:rPr>
      </w:pPr>
    </w:p>
    <w:p w:rsidR="0050672B" w:rsidRDefault="0050672B" w:rsidP="002C4EDA">
      <w:pPr>
        <w:rPr>
          <w:rFonts w:ascii="Times New Roman" w:hAnsi="Times New Roman"/>
          <w:sz w:val="24"/>
          <w:szCs w:val="24"/>
        </w:rPr>
      </w:pPr>
    </w:p>
    <w:p w:rsidR="0050672B" w:rsidRDefault="0050672B" w:rsidP="002C4EDA">
      <w:pPr>
        <w:rPr>
          <w:rFonts w:ascii="Times New Roman" w:hAnsi="Times New Roman"/>
          <w:sz w:val="24"/>
          <w:szCs w:val="24"/>
        </w:rPr>
      </w:pPr>
    </w:p>
    <w:p w:rsidR="0050672B" w:rsidRDefault="0050672B" w:rsidP="002C4EDA">
      <w:pPr>
        <w:rPr>
          <w:rFonts w:ascii="Times New Roman" w:hAnsi="Times New Roman"/>
          <w:sz w:val="24"/>
          <w:szCs w:val="24"/>
          <w:vertAlign w:val="superscript"/>
        </w:rPr>
      </w:pPr>
    </w:p>
    <w:p w:rsidR="0050672B" w:rsidRDefault="0050672B" w:rsidP="002C4EDA">
      <w:pPr>
        <w:rPr>
          <w:rFonts w:ascii="Times New Roman" w:hAnsi="Times New Roman"/>
          <w:sz w:val="24"/>
          <w:szCs w:val="24"/>
          <w:vertAlign w:val="superscript"/>
        </w:rPr>
      </w:pPr>
    </w:p>
    <w:p w:rsidR="0050672B" w:rsidRDefault="0050672B" w:rsidP="002C4EDA">
      <w:pPr>
        <w:rPr>
          <w:rFonts w:ascii="Times New Roman" w:hAnsi="Times New Roman"/>
          <w:sz w:val="24"/>
          <w:szCs w:val="24"/>
          <w:vertAlign w:val="superscript"/>
        </w:rPr>
      </w:pPr>
    </w:p>
    <w:p w:rsidR="0050672B" w:rsidRDefault="006751AF" w:rsidP="002C4EDA">
      <w:pPr>
        <w:rPr>
          <w:rFonts w:ascii="Times New Roman" w:hAnsi="Times New Roman"/>
          <w:sz w:val="24"/>
          <w:szCs w:val="24"/>
          <w:vertAlign w:val="superscript"/>
        </w:rPr>
      </w:pPr>
      <w:r>
        <w:rPr>
          <w:rFonts w:ascii="Times New Roman" w:hAnsi="Times New Roman"/>
          <w:sz w:val="24"/>
          <w:szCs w:val="24"/>
          <w:vertAlign w:val="superscript"/>
        </w:rPr>
      </w:r>
      <w:r>
        <w:rPr>
          <w:rFonts w:ascii="Times New Roman" w:hAnsi="Times New Roman"/>
          <w:sz w:val="24"/>
          <w:szCs w:val="24"/>
          <w:vertAlign w:val="superscript"/>
        </w:rPr>
        <w:pict>
          <v:group id="_x0000_s1028" editas="canvas" style="width:439.9pt;height:329.9pt;mso-position-horizontal-relative:char;mso-position-vertical-relative:line" coordsize="9374,70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4;height:7030" o:preferrelative="f">
              <v:fill o:detectmouseclick="t"/>
              <v:path o:extrusionok="t" o:connecttype="none"/>
              <o:lock v:ext="edit" text="t"/>
            </v:shape>
            <v:shape id="_x0000_s1029" type="#_x0000_t75" style="position:absolute;width:9374;height:7030;rotation:358">
              <v:imagedata r:id="rId6" o:title=""/>
            </v:shape>
            <w10:wrap type="none"/>
            <w10:anchorlock/>
          </v:group>
        </w:pict>
      </w:r>
    </w:p>
    <w:p w:rsidR="00872E57" w:rsidRPr="00872E57" w:rsidRDefault="00872E57" w:rsidP="002C4EDA">
      <w:pPr>
        <w:rPr>
          <w:rFonts w:ascii="Times New Roman" w:hAnsi="Times New Roman"/>
          <w:sz w:val="24"/>
          <w:szCs w:val="24"/>
        </w:rPr>
      </w:pPr>
    </w:p>
    <w:p w:rsidR="002D4F7F" w:rsidRPr="00A3577C" w:rsidRDefault="002D4F7F" w:rsidP="002D4F7F">
      <w:pPr>
        <w:spacing w:before="100" w:beforeAutospacing="1" w:after="100" w:afterAutospacing="1"/>
        <w:jc w:val="left"/>
        <w:rPr>
          <w:rFonts w:asciiTheme="majorHAnsi" w:eastAsia="Times New Roman" w:hAnsiTheme="majorHAnsi"/>
          <w:sz w:val="24"/>
          <w:szCs w:val="24"/>
        </w:rPr>
      </w:pPr>
      <w:r w:rsidRPr="00A3577C">
        <w:rPr>
          <w:rFonts w:asciiTheme="majorHAnsi" w:eastAsia="Times New Roman" w:hAnsiTheme="majorHAnsi"/>
          <w:sz w:val="24"/>
          <w:szCs w:val="24"/>
        </w:rPr>
        <w:t>It is also important to remember that BMI is only one factor related to risk for disease. For assessing someone's likelihood of developing overweight- or obesity-related diseases, other predictors can be determined by taking girth measurements with a spring-loaded tape measure</w:t>
      </w:r>
      <w:r w:rsidR="00D17C24">
        <w:rPr>
          <w:rFonts w:asciiTheme="majorHAnsi" w:eastAsia="Times New Roman" w:hAnsiTheme="majorHAnsi"/>
          <w:sz w:val="24"/>
          <w:szCs w:val="24"/>
        </w:rPr>
        <w:t>.  These include:</w:t>
      </w:r>
    </w:p>
    <w:p w:rsidR="002D4F7F" w:rsidRPr="00A3577C" w:rsidRDefault="002D4F7F" w:rsidP="002D4F7F">
      <w:pPr>
        <w:pStyle w:val="ListParagraph"/>
        <w:numPr>
          <w:ilvl w:val="0"/>
          <w:numId w:val="5"/>
        </w:numPr>
        <w:spacing w:before="100" w:beforeAutospacing="1" w:after="100" w:afterAutospacing="1"/>
        <w:jc w:val="left"/>
        <w:rPr>
          <w:rFonts w:asciiTheme="majorHAnsi" w:eastAsia="Times New Roman" w:hAnsiTheme="majorHAnsi"/>
          <w:sz w:val="24"/>
          <w:szCs w:val="24"/>
        </w:rPr>
      </w:pPr>
      <w:r w:rsidRPr="00A3577C">
        <w:rPr>
          <w:rFonts w:asciiTheme="majorHAnsi" w:eastAsia="Times New Roman" w:hAnsiTheme="majorHAnsi"/>
          <w:sz w:val="24"/>
          <w:szCs w:val="24"/>
        </w:rPr>
        <w:t xml:space="preserve">The individual's </w:t>
      </w:r>
      <w:r w:rsidRPr="00D17C24">
        <w:rPr>
          <w:rFonts w:asciiTheme="majorHAnsi" w:eastAsia="Times New Roman" w:hAnsiTheme="majorHAnsi"/>
          <w:b/>
          <w:sz w:val="24"/>
          <w:szCs w:val="24"/>
        </w:rPr>
        <w:t>waist circumference</w:t>
      </w:r>
      <w:r w:rsidRPr="00A3577C">
        <w:rPr>
          <w:rFonts w:asciiTheme="majorHAnsi" w:eastAsia="Times New Roman" w:hAnsiTheme="majorHAnsi"/>
          <w:sz w:val="24"/>
          <w:szCs w:val="24"/>
        </w:rPr>
        <w:t xml:space="preserve"> (because abdominal fat is a predictor of risk for obesity-related diseases)</w:t>
      </w:r>
    </w:p>
    <w:p w:rsidR="002D4F7F" w:rsidRPr="00A3577C" w:rsidRDefault="002D4F7F" w:rsidP="002D4F7F">
      <w:pPr>
        <w:spacing w:before="100" w:beforeAutospacing="1" w:after="100" w:afterAutospacing="1"/>
        <w:ind w:left="720"/>
        <w:jc w:val="left"/>
        <w:rPr>
          <w:rFonts w:asciiTheme="majorHAnsi" w:eastAsia="Times New Roman" w:hAnsiTheme="majorHAnsi"/>
          <w:sz w:val="24"/>
          <w:szCs w:val="24"/>
        </w:rPr>
      </w:pPr>
      <w:r w:rsidRPr="00A3577C">
        <w:rPr>
          <w:rFonts w:asciiTheme="majorHAnsi" w:eastAsia="Times New Roman" w:hAnsiTheme="majorHAnsi"/>
          <w:sz w:val="24"/>
          <w:szCs w:val="24"/>
        </w:rPr>
        <w:tab/>
        <w:t xml:space="preserve">      </w:t>
      </w:r>
      <w:r w:rsidR="00D17C24">
        <w:rPr>
          <w:rFonts w:asciiTheme="majorHAnsi" w:eastAsia="Times New Roman" w:hAnsiTheme="majorHAnsi"/>
          <w:sz w:val="24"/>
          <w:szCs w:val="24"/>
        </w:rPr>
        <w:t xml:space="preserve">- </w:t>
      </w:r>
      <w:r w:rsidRPr="00A3577C">
        <w:rPr>
          <w:rFonts w:asciiTheme="majorHAnsi" w:eastAsia="Times New Roman" w:hAnsiTheme="majorHAnsi"/>
          <w:sz w:val="24"/>
          <w:szCs w:val="24"/>
        </w:rPr>
        <w:t xml:space="preserve"> Higher risk associated with &gt;40 inches (men); &gt;35 inches (women)</w:t>
      </w:r>
    </w:p>
    <w:p w:rsidR="002D4F7F" w:rsidRPr="00A3577C" w:rsidRDefault="002D4F7F" w:rsidP="002D4F7F">
      <w:pPr>
        <w:pStyle w:val="ListParagraph"/>
        <w:numPr>
          <w:ilvl w:val="0"/>
          <w:numId w:val="3"/>
        </w:numPr>
        <w:spacing w:before="100" w:beforeAutospacing="1" w:after="100" w:afterAutospacing="1"/>
        <w:rPr>
          <w:rFonts w:asciiTheme="majorHAnsi" w:eastAsia="Times New Roman" w:hAnsiTheme="majorHAnsi"/>
          <w:sz w:val="24"/>
          <w:szCs w:val="24"/>
        </w:rPr>
      </w:pPr>
      <w:r w:rsidRPr="00D17C24">
        <w:rPr>
          <w:rFonts w:asciiTheme="majorHAnsi" w:eastAsia="Times New Roman" w:hAnsiTheme="majorHAnsi"/>
          <w:b/>
          <w:sz w:val="24"/>
          <w:szCs w:val="24"/>
        </w:rPr>
        <w:t>Waist-to-hip circumference ratio</w:t>
      </w:r>
      <w:r w:rsidRPr="00A3577C">
        <w:rPr>
          <w:rFonts w:asciiTheme="majorHAnsi" w:eastAsia="Times New Roman" w:hAnsiTheme="majorHAnsi"/>
          <w:sz w:val="24"/>
          <w:szCs w:val="24"/>
        </w:rPr>
        <w:t xml:space="preserve"> (indicates android/</w:t>
      </w:r>
      <w:proofErr w:type="spellStart"/>
      <w:r w:rsidRPr="00A3577C">
        <w:rPr>
          <w:rFonts w:asciiTheme="majorHAnsi" w:eastAsia="Times New Roman" w:hAnsiTheme="majorHAnsi"/>
          <w:sz w:val="24"/>
          <w:szCs w:val="24"/>
        </w:rPr>
        <w:t>gynoid</w:t>
      </w:r>
      <w:proofErr w:type="spellEnd"/>
      <w:r w:rsidRPr="00A3577C">
        <w:rPr>
          <w:rFonts w:asciiTheme="majorHAnsi" w:eastAsia="Times New Roman" w:hAnsiTheme="majorHAnsi"/>
          <w:sz w:val="24"/>
          <w:szCs w:val="24"/>
        </w:rPr>
        <w:t xml:space="preserve"> body fat distribution and can also be related to increase with health risks and early morbidity)</w:t>
      </w:r>
    </w:p>
    <w:p w:rsidR="00872E57" w:rsidRPr="00A3577C" w:rsidRDefault="002D4F7F" w:rsidP="002C4EDA">
      <w:pPr>
        <w:rPr>
          <w:rFonts w:asciiTheme="majorHAnsi" w:hAnsiTheme="majorHAnsi"/>
          <w:sz w:val="24"/>
          <w:szCs w:val="24"/>
        </w:rPr>
      </w:pPr>
      <w:r w:rsidRPr="00A3577C">
        <w:rPr>
          <w:rFonts w:asciiTheme="majorHAnsi" w:hAnsiTheme="majorHAnsi"/>
          <w:sz w:val="24"/>
          <w:szCs w:val="24"/>
        </w:rPr>
        <w:t>W</w:t>
      </w:r>
      <w:r w:rsidR="00872E57" w:rsidRPr="00A3577C">
        <w:rPr>
          <w:rFonts w:asciiTheme="majorHAnsi" w:hAnsiTheme="majorHAnsi"/>
          <w:sz w:val="24"/>
          <w:szCs w:val="24"/>
        </w:rPr>
        <w:t>hen administering or suggesting anthropometric tests of body composition, marching band leaders need to be considerate of the sensitive nature of such assessments.  Invasive physical testing or disclosure of results should be kept as private as possible, and band members should always be given options for consent just like other student-athletes (reference “NCAA Guidelines for Assessment of Body Composition” research link).</w:t>
      </w:r>
    </w:p>
    <w:sectPr w:rsidR="00872E57" w:rsidRPr="00A3577C" w:rsidSect="003B2C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FB5"/>
    <w:multiLevelType w:val="hybridMultilevel"/>
    <w:tmpl w:val="A7ECA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033B89"/>
    <w:multiLevelType w:val="hybridMultilevel"/>
    <w:tmpl w:val="61BC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46688E"/>
    <w:multiLevelType w:val="hybridMultilevel"/>
    <w:tmpl w:val="9C7A8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31673C5"/>
    <w:multiLevelType w:val="multilevel"/>
    <w:tmpl w:val="4A34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D254E"/>
    <w:multiLevelType w:val="hybridMultilevel"/>
    <w:tmpl w:val="9FEE1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1843"/>
    <w:rsid w:val="000F2C1E"/>
    <w:rsid w:val="00133A1B"/>
    <w:rsid w:val="001545D5"/>
    <w:rsid w:val="00187494"/>
    <w:rsid w:val="001B1843"/>
    <w:rsid w:val="002C4EDA"/>
    <w:rsid w:val="002D4F7F"/>
    <w:rsid w:val="003121DE"/>
    <w:rsid w:val="003804EA"/>
    <w:rsid w:val="003B2C31"/>
    <w:rsid w:val="003F304B"/>
    <w:rsid w:val="00421C71"/>
    <w:rsid w:val="0050672B"/>
    <w:rsid w:val="00562041"/>
    <w:rsid w:val="00576FC9"/>
    <w:rsid w:val="00590426"/>
    <w:rsid w:val="005A6F3B"/>
    <w:rsid w:val="00602FD5"/>
    <w:rsid w:val="006751AF"/>
    <w:rsid w:val="006B4B19"/>
    <w:rsid w:val="006C74AE"/>
    <w:rsid w:val="00872E57"/>
    <w:rsid w:val="009C343B"/>
    <w:rsid w:val="00A07BF8"/>
    <w:rsid w:val="00A11B1A"/>
    <w:rsid w:val="00A252A0"/>
    <w:rsid w:val="00A3577C"/>
    <w:rsid w:val="00AA1951"/>
    <w:rsid w:val="00AF3466"/>
    <w:rsid w:val="00AF7C87"/>
    <w:rsid w:val="00B20A14"/>
    <w:rsid w:val="00B43984"/>
    <w:rsid w:val="00BB3C28"/>
    <w:rsid w:val="00C07BD7"/>
    <w:rsid w:val="00C42CD0"/>
    <w:rsid w:val="00C77A4E"/>
    <w:rsid w:val="00C84919"/>
    <w:rsid w:val="00C96F2E"/>
    <w:rsid w:val="00D17C24"/>
    <w:rsid w:val="00D92CEF"/>
    <w:rsid w:val="00FB09E5"/>
    <w:rsid w:val="00FD3D1B"/>
    <w:rsid w:val="00FF4D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3"/>
    <w:pPr>
      <w:spacing w:after="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494"/>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02FD5"/>
    <w:rPr>
      <w:rFonts w:ascii="Tahoma" w:hAnsi="Tahoma" w:cs="Tahoma"/>
      <w:sz w:val="16"/>
      <w:szCs w:val="16"/>
    </w:rPr>
  </w:style>
  <w:style w:type="character" w:customStyle="1" w:styleId="BalloonTextChar">
    <w:name w:val="Balloon Text Char"/>
    <w:basedOn w:val="DefaultParagraphFont"/>
    <w:link w:val="BalloonText"/>
    <w:uiPriority w:val="99"/>
    <w:semiHidden/>
    <w:rsid w:val="00602FD5"/>
    <w:rPr>
      <w:rFonts w:ascii="Tahoma" w:eastAsia="Calibri" w:hAnsi="Tahoma" w:cs="Tahoma"/>
      <w:sz w:val="16"/>
      <w:szCs w:val="16"/>
    </w:rPr>
  </w:style>
  <w:style w:type="paragraph" w:styleId="ListParagraph">
    <w:name w:val="List Paragraph"/>
    <w:basedOn w:val="Normal"/>
    <w:uiPriority w:val="34"/>
    <w:qFormat/>
    <w:rsid w:val="00602FD5"/>
    <w:pPr>
      <w:ind w:left="720"/>
      <w:contextualSpacing/>
    </w:pPr>
  </w:style>
</w:styles>
</file>

<file path=word/webSettings.xml><?xml version="1.0" encoding="utf-8"?>
<w:webSettings xmlns:r="http://schemas.openxmlformats.org/officeDocument/2006/relationships" xmlns:w="http://schemas.openxmlformats.org/wordprocessingml/2006/main">
  <w:divs>
    <w:div w:id="6290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3A11-3561-4A08-B62D-D812EA67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27</cp:revision>
  <dcterms:created xsi:type="dcterms:W3CDTF">2013-05-25T05:19:00Z</dcterms:created>
  <dcterms:modified xsi:type="dcterms:W3CDTF">2013-05-26T18:35:00Z</dcterms:modified>
</cp:coreProperties>
</file>